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標楷體" w:hAnsi="標楷體" w:eastAsia="標楷體"/>
          <w:b/>
          <w:sz w:val="36"/>
          <w:szCs w:val="36"/>
        </w:rPr>
      </w:pPr>
      <w:r>
        <w:rPr>
          <w:rFonts w:hint="eastAsia" w:ascii="標楷體" w:hAnsi="標楷體" w:eastAsia="標楷體"/>
          <w:b/>
          <w:sz w:val="36"/>
          <w:szCs w:val="36"/>
        </w:rPr>
        <w:t>108年失智症專業人員進階課程</w:t>
      </w:r>
    </w:p>
    <w:p>
      <w:pPr>
        <w:rPr>
          <w:rFonts w:ascii="標楷體" w:hAnsi="標楷體" w:eastAsia="標楷體"/>
        </w:rPr>
      </w:pPr>
      <w:r>
        <w:rPr>
          <w:rFonts w:hint="eastAsia" w:ascii="標楷體" w:hAnsi="標楷體" w:eastAsia="標楷體"/>
        </w:rPr>
        <w:t>一、目的</w:t>
      </w:r>
    </w:p>
    <w:p>
      <w:pPr>
        <w:spacing w:line="0" w:lineRule="atLeast"/>
        <w:ind w:firstLine="480"/>
        <w:rPr>
          <w:rFonts w:ascii="標楷體" w:hAnsi="標楷體" w:eastAsia="標楷體" w:cs="標楷體"/>
          <w:color w:val="464646"/>
        </w:rPr>
      </w:pPr>
      <w:r>
        <w:rPr>
          <w:rFonts w:hint="eastAsia" w:ascii="標楷體" w:hAnsi="標楷體" w:eastAsia="標楷體" w:cs="標楷體"/>
          <w:color w:val="333333"/>
        </w:rPr>
        <w:t>根據世界衛生組織估計，全球平均每 3 秒鐘就新增 1 名失智症患者。</w:t>
      </w:r>
      <w:r>
        <w:rPr>
          <w:rFonts w:hint="eastAsia" w:ascii="標楷體" w:hAnsi="標楷體" w:eastAsia="標楷體" w:cs="標楷體"/>
          <w:color w:val="464646"/>
        </w:rPr>
        <w:t>藥物以及一些非藥物治療可以改善一些患者的部分症狀並控制退化的速度。</w:t>
      </w:r>
    </w:p>
    <w:p>
      <w:pPr>
        <w:spacing w:line="0" w:lineRule="atLeast"/>
        <w:ind w:firstLine="482"/>
        <w:rPr>
          <w:rFonts w:ascii="標楷體" w:hAnsi="標楷體" w:eastAsia="標楷體" w:cs="標楷體"/>
          <w:color w:val="464646"/>
        </w:rPr>
      </w:pPr>
      <w:r>
        <w:rPr>
          <w:rFonts w:hint="eastAsia" w:ascii="標楷體" w:hAnsi="標楷體" w:eastAsia="標楷體" w:cs="標楷體"/>
          <w:color w:val="464646"/>
        </w:rPr>
        <w:t>失智者口腔健康容易被忽略，除進食障礙，也影響食慾與營養；而牙痛無法表達，往往造成不安躁動。而有別於其他疾病，</w:t>
      </w:r>
      <w:r>
        <w:rPr>
          <w:rFonts w:hint="eastAsia" w:ascii="標楷體" w:hAnsi="標楷體" w:eastAsia="標楷體" w:cs="標楷體"/>
          <w:color w:val="36393D"/>
        </w:rPr>
        <w:t>失智者因判斷力變差，導致財物損失及被詐騙而深陷官司的新聞時有所聞；面對失智者人權</w:t>
      </w:r>
      <w:r>
        <w:rPr>
          <w:rFonts w:hint="eastAsia" w:ascii="標楷體" w:hAnsi="標楷體" w:eastAsia="標楷體" w:cs="標楷體"/>
          <w:color w:val="333333"/>
        </w:rPr>
        <w:t>，2009年開始將失智者納入安寧療護服務對</w:t>
      </w:r>
    </w:p>
    <w:p>
      <w:pPr>
        <w:spacing w:line="0" w:lineRule="atLeast"/>
        <w:rPr>
          <w:rFonts w:ascii="標楷體" w:hAnsi="標楷體" w:eastAsia="標楷體" w:cs="標楷體"/>
          <w:color w:val="333333"/>
        </w:rPr>
      </w:pPr>
      <w:r>
        <w:rPr>
          <w:rFonts w:hint="eastAsia" w:ascii="標楷體" w:hAnsi="標楷體" w:eastAsia="標楷體" w:cs="標楷體"/>
          <w:color w:val="333333"/>
        </w:rPr>
        <w:t>象。今年上路的「病人自主權利法」強調失智患者應盡早進行預立醫療照護諮商與預立醫療決定</w:t>
      </w:r>
      <w:r>
        <w:rPr>
          <w:rFonts w:hint="eastAsia" w:ascii="標楷體" w:hAnsi="標楷體" w:eastAsia="標楷體" w:cs="標楷體"/>
          <w:color w:val="36393D"/>
        </w:rPr>
        <w:t>，</w:t>
      </w:r>
      <w:r>
        <w:rPr>
          <w:rFonts w:hint="eastAsia" w:ascii="標楷體" w:hAnsi="標楷體" w:eastAsia="標楷體" w:cs="標楷體"/>
          <w:color w:val="333333"/>
        </w:rPr>
        <w:t>尊重其自主意願使其安詳善終。</w:t>
      </w:r>
    </w:p>
    <w:p>
      <w:pPr>
        <w:spacing w:line="0" w:lineRule="atLeast"/>
        <w:ind w:firstLine="480"/>
        <w:rPr>
          <w:rFonts w:ascii="標楷體" w:hAnsi="標楷體" w:eastAsia="標楷體" w:cs="標楷體"/>
          <w:color w:val="464646"/>
        </w:rPr>
      </w:pPr>
      <w:r>
        <w:rPr>
          <w:rFonts w:hint="eastAsia" w:ascii="標楷體" w:hAnsi="標楷體" w:eastAsia="標楷體" w:cs="標楷體"/>
          <w:color w:val="333333"/>
        </w:rPr>
        <w:t>面對失智症照護，專業人員應具備知識與技能，提供</w:t>
      </w:r>
      <w:r>
        <w:rPr>
          <w:rFonts w:hint="eastAsia" w:ascii="標楷體" w:hAnsi="標楷體" w:eastAsia="標楷體" w:cs="標楷體"/>
          <w:color w:val="464646"/>
        </w:rPr>
        <w:t>專業的守護，才可以讓失智症患者、家屬及照顧者更有信心的去面對失智症照護。</w:t>
      </w:r>
    </w:p>
    <w:p>
      <w:pPr>
        <w:rPr>
          <w:rFonts w:ascii="標楷體" w:hAnsi="標楷體" w:eastAsia="標楷體"/>
        </w:rPr>
      </w:pPr>
    </w:p>
    <w:p>
      <w:pPr>
        <w:rPr>
          <w:rFonts w:ascii="標楷體" w:hAnsi="標楷體" w:eastAsia="標楷體"/>
        </w:rPr>
      </w:pPr>
      <w:r>
        <w:rPr>
          <w:rFonts w:hint="eastAsia" w:ascii="標楷體" w:hAnsi="標楷體" w:eastAsia="標楷體"/>
        </w:rPr>
        <w:t>二、主辦單位：臺中市護理師護士公會</w:t>
      </w:r>
    </w:p>
    <w:p>
      <w:pPr>
        <w:rPr>
          <w:rFonts w:ascii="標楷體" w:hAnsi="標楷體" w:eastAsia="標楷體"/>
        </w:rPr>
      </w:pPr>
      <w:r>
        <w:rPr>
          <w:rFonts w:hint="eastAsia" w:ascii="標楷體" w:hAnsi="標楷體" w:eastAsia="標楷體"/>
        </w:rPr>
        <w:t xml:space="preserve">    課程日期：2019.11.02 (星期六)</w:t>
      </w:r>
      <w:r>
        <w:rPr>
          <w:rFonts w:hint="eastAsia"/>
        </w:rPr>
        <w:t xml:space="preserve"> </w:t>
      </w:r>
      <w:r>
        <w:rPr>
          <w:rFonts w:hint="eastAsia" w:ascii="標楷體" w:hAnsi="標楷體" w:eastAsia="標楷體"/>
        </w:rPr>
        <w:t xml:space="preserve">上午8：25~下午5：00    </w:t>
      </w:r>
    </w:p>
    <w:p>
      <w:pPr>
        <w:rPr>
          <w:rFonts w:ascii="標楷體" w:hAnsi="標楷體" w:eastAsia="標楷體"/>
        </w:rPr>
      </w:pPr>
      <w:r>
        <w:rPr>
          <w:rFonts w:hint="eastAsia" w:ascii="標楷體" w:hAnsi="標楷體" w:eastAsia="標楷體"/>
        </w:rPr>
        <w:t xml:space="preserve">    地點：中山醫學大學附設醫院-行政大樓12樓國際會議廳</w:t>
      </w:r>
    </w:p>
    <w:p>
      <w:pPr>
        <w:ind w:firstLine="1200" w:firstLineChars="500"/>
        <w:rPr>
          <w:rFonts w:ascii="標楷體" w:hAnsi="標楷體" w:eastAsia="標楷體"/>
        </w:rPr>
      </w:pPr>
      <w:r>
        <w:rPr>
          <w:rFonts w:hint="eastAsia" w:ascii="標楷體" w:hAnsi="標楷體" w:eastAsia="標楷體"/>
        </w:rPr>
        <w:t>(台中市南區建國北路一段110號)</w:t>
      </w:r>
    </w:p>
    <w:p>
      <w:pPr>
        <w:rPr>
          <w:rFonts w:ascii="標楷體" w:hAnsi="標楷體" w:eastAsia="標楷體"/>
        </w:rPr>
      </w:pPr>
      <w:r>
        <w:rPr>
          <w:rFonts w:hint="eastAsia" w:ascii="標楷體" w:hAnsi="標楷體" w:eastAsia="標楷體"/>
        </w:rPr>
        <w:t>三、對象：護理人員及從事健康照護專業人員</w:t>
      </w:r>
    </w:p>
    <w:p>
      <w:pPr>
        <w:rPr>
          <w:rFonts w:ascii="標楷體" w:hAnsi="標楷體" w:eastAsia="標楷體"/>
        </w:rPr>
      </w:pPr>
      <w:r>
        <w:rPr>
          <w:rFonts w:hint="eastAsia" w:ascii="標楷體" w:hAnsi="標楷體" w:eastAsia="標楷體"/>
        </w:rPr>
        <w:t>四、人數：限250名</w:t>
      </w:r>
    </w:p>
    <w:p>
      <w:pPr>
        <w:rPr>
          <w:rFonts w:ascii="標楷體" w:hAnsi="標楷體" w:eastAsia="標楷體"/>
        </w:rPr>
      </w:pPr>
      <w:r>
        <w:rPr>
          <w:rFonts w:hint="eastAsia" w:ascii="標楷體" w:hAnsi="標楷體" w:eastAsia="標楷體"/>
        </w:rPr>
        <w:t>五、費用：免費。</w:t>
      </w:r>
    </w:p>
    <w:p>
      <w:pPr>
        <w:rPr>
          <w:rFonts w:ascii="標楷體" w:hAnsi="標楷體" w:eastAsia="標楷體"/>
        </w:rPr>
      </w:pPr>
      <w:r>
        <w:rPr>
          <w:rFonts w:hint="eastAsia" w:ascii="標楷體" w:hAnsi="標楷體" w:eastAsia="標楷體"/>
        </w:rPr>
        <w:t>六、積分申請：護理師</w:t>
      </w:r>
      <w:r>
        <w:rPr>
          <w:rFonts w:hint="eastAsia" w:ascii="標楷體" w:hAnsi="標楷體" w:eastAsia="標楷體"/>
          <w:lang w:val="en-US" w:eastAsia="zh-TW"/>
        </w:rPr>
        <w:t>(專業、法規及倫理積分)</w:t>
      </w:r>
      <w:r>
        <w:rPr>
          <w:rFonts w:hint="eastAsia" w:ascii="標楷體" w:hAnsi="標楷體" w:eastAsia="標楷體"/>
        </w:rPr>
        <w:t>、長照積分申請中</w:t>
      </w:r>
    </w:p>
    <w:p>
      <w:pPr>
        <w:rPr>
          <w:rFonts w:hint="eastAsia" w:ascii="標楷體" w:hAnsi="標楷體" w:eastAsia="標楷體"/>
        </w:rPr>
      </w:pPr>
      <w:r>
        <w:rPr>
          <w:rFonts w:hint="eastAsia" w:ascii="標楷體" w:hAnsi="標楷體" w:eastAsia="標楷體"/>
        </w:rPr>
        <w:t>七、報名方式：</w:t>
      </w:r>
    </w:p>
    <w:p>
      <w:pPr>
        <w:ind w:firstLine="480" w:firstLineChars="200"/>
        <w:rPr>
          <w:rStyle w:val="6"/>
        </w:rPr>
      </w:pPr>
      <w:r>
        <w:rPr>
          <w:rFonts w:hint="eastAsia" w:ascii="標楷體" w:hAnsi="標楷體" w:eastAsia="標楷體"/>
          <w:lang w:val="en-US" w:eastAsia="zh-TW"/>
        </w:rPr>
        <w:t>1.</w:t>
      </w:r>
      <w:r>
        <w:rPr>
          <w:rFonts w:hint="eastAsia" w:ascii="標楷體" w:hAnsi="標楷體" w:eastAsia="標楷體"/>
        </w:rPr>
        <w:t>臺中市護理師護士公會報名</w:t>
      </w:r>
      <w:r>
        <w:fldChar w:fldCharType="begin"/>
      </w:r>
      <w:r>
        <w:instrText xml:space="preserve"> HYPERLINK "http://www.tcnurse.org.tw/publicUI/D/D101.aspx" </w:instrText>
      </w:r>
      <w:r>
        <w:fldChar w:fldCharType="separate"/>
      </w:r>
      <w:r>
        <w:rPr>
          <w:rStyle w:val="6"/>
        </w:rPr>
        <w:t>http://www.tcnurse.org.tw/publicUI/D/D101.aspx</w:t>
      </w:r>
      <w:r>
        <w:rPr>
          <w:rStyle w:val="6"/>
        </w:rPr>
        <w:fldChar w:fldCharType="end"/>
      </w:r>
    </w:p>
    <w:p>
      <w:pPr>
        <w:ind w:left="720" w:leftChars="200" w:hanging="240" w:hangingChars="100"/>
        <w:rPr>
          <w:rFonts w:hint="eastAsia" w:ascii="標楷體" w:hAnsi="標楷體" w:eastAsia="標楷體"/>
        </w:rPr>
      </w:pPr>
      <w:r>
        <w:rPr>
          <w:sz w:val="24"/>
        </w:rPr>
        <mc:AlternateContent>
          <mc:Choice Requires="wps">
            <w:drawing>
              <wp:anchor distT="0" distB="0" distL="114300" distR="114300" simplePos="0" relativeHeight="251658240" behindDoc="0" locked="0" layoutInCell="1" allowOverlap="1">
                <wp:simplePos x="0" y="0"/>
                <wp:positionH relativeFrom="column">
                  <wp:posOffset>4151630</wp:posOffset>
                </wp:positionH>
                <wp:positionV relativeFrom="paragraph">
                  <wp:posOffset>200660</wp:posOffset>
                </wp:positionV>
                <wp:extent cx="818515" cy="685800"/>
                <wp:effectExtent l="4445" t="4445" r="15240" b="14605"/>
                <wp:wrapNone/>
                <wp:docPr id="2" name="文字方塊 2"/>
                <wp:cNvGraphicFramePr/>
                <a:graphic xmlns:a="http://schemas.openxmlformats.org/drawingml/2006/main">
                  <a:graphicData uri="http://schemas.microsoft.com/office/word/2010/wordprocessingShape">
                    <wps:wsp>
                      <wps:cNvSpPr txBox="1"/>
                      <wps:spPr>
                        <a:xfrm>
                          <a:off x="5856605" y="6090285"/>
                          <a:ext cx="818515" cy="685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eastAsia="新細明體"/>
                                <w:lang w:eastAsia="zh-TW"/>
                              </w:rPr>
                              <w:drawing>
                                <wp:inline distT="0" distB="0" distL="114300" distR="114300">
                                  <wp:extent cx="671830" cy="590550"/>
                                  <wp:effectExtent l="0" t="0" r="13970" b="0"/>
                                  <wp:docPr id="3" name="圖片 3" descr="T866HD4N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T866HD4NMI"/>
                                          <pic:cNvPicPr>
                                            <a:picLocks noChangeAspect="1"/>
                                          </pic:cNvPicPr>
                                        </pic:nvPicPr>
                                        <pic:blipFill>
                                          <a:blip r:embed="rId10"/>
                                          <a:stretch>
                                            <a:fillRect/>
                                          </a:stretch>
                                        </pic:blipFill>
                                        <pic:spPr>
                                          <a:xfrm>
                                            <a:off x="0" y="0"/>
                                            <a:ext cx="671830" cy="590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6.9pt;margin-top:15.8pt;height:54pt;width:64.45pt;z-index:251658240;mso-width-relative:page;mso-height-relative:page;" fillcolor="#FFFFFF [3201]" filled="t" stroked="t" coordsize="21600,21600" o:gfxdata="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QMxHNcAAAAKAQAADwAA&#10;AAAAAAABACAAAAAiAAAAZHJzL2Rvd25yZXYueG1sUEsBAhQAFAAAAAgAh07iQH5o2ddQAgAAdwQA&#10;AA4AAAAAAAAAAQAgAAAAJgEAAGRycy9lMm9Eb2MueG1sUEsFBgAAAAAGAAYAWQEAAOgFAAAAAA==&#10;">
                <v:fill on="t" focussize="0,0"/>
                <v:stroke weight="0.5pt" color="#000000 [3204]" joinstyle="round"/>
                <v:imagedata o:title=""/>
                <o:lock v:ext="edit" aspectratio="f"/>
                <v:textbox>
                  <w:txbxContent>
                    <w:p>
                      <w:r>
                        <w:rPr>
                          <w:rFonts w:hint="eastAsia" w:eastAsia="新細明體"/>
                          <w:lang w:eastAsia="zh-TW"/>
                        </w:rPr>
                        <w:drawing>
                          <wp:inline distT="0" distB="0" distL="114300" distR="114300">
                            <wp:extent cx="671830" cy="590550"/>
                            <wp:effectExtent l="0" t="0" r="13970" b="0"/>
                            <wp:docPr id="3" name="圖片 3" descr="T866HD4N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T866HD4NMI"/>
                                    <pic:cNvPicPr>
                                      <a:picLocks noChangeAspect="1"/>
                                    </pic:cNvPicPr>
                                  </pic:nvPicPr>
                                  <pic:blipFill>
                                    <a:blip r:embed="rId10"/>
                                    <a:stretch>
                                      <a:fillRect/>
                                    </a:stretch>
                                  </pic:blipFill>
                                  <pic:spPr>
                                    <a:xfrm>
                                      <a:off x="0" y="0"/>
                                      <a:ext cx="671830" cy="590550"/>
                                    </a:xfrm>
                                    <a:prstGeom prst="rect">
                                      <a:avLst/>
                                    </a:prstGeom>
                                  </pic:spPr>
                                </pic:pic>
                              </a:graphicData>
                            </a:graphic>
                          </wp:inline>
                        </w:drawing>
                      </w:r>
                    </w:p>
                  </w:txbxContent>
                </v:textbox>
              </v:shape>
            </w:pict>
          </mc:Fallback>
        </mc:AlternateContent>
      </w:r>
      <w:r>
        <w:rPr>
          <w:rStyle w:val="6"/>
          <w:rFonts w:hint="eastAsia"/>
          <w:color w:val="auto"/>
          <w:u w:val="none"/>
          <w:lang w:val="en-US" w:eastAsia="zh-TW"/>
        </w:rPr>
        <w:t>2.</w:t>
      </w:r>
      <w:r>
        <w:rPr>
          <w:rFonts w:hint="eastAsia" w:ascii="標楷體" w:hAnsi="標楷體" w:eastAsia="標楷體"/>
        </w:rPr>
        <w:t xml:space="preserve"> </w:t>
      </w:r>
      <w:r>
        <w:rPr>
          <w:rFonts w:hint="eastAsia" w:ascii="標楷體" w:hAnsi="標楷體" w:eastAsia="標楷體"/>
          <w:lang w:eastAsia="zh-TW"/>
        </w:rPr>
        <w:t>其它膱類請</w:t>
      </w:r>
      <w:r>
        <w:rPr>
          <w:rFonts w:hint="eastAsia" w:ascii="標楷體" w:hAnsi="標楷體" w:eastAsia="標楷體"/>
        </w:rPr>
        <w:t>網路報名，報名至1</w:t>
      </w:r>
      <w:r>
        <w:rPr>
          <w:rFonts w:hint="eastAsia" w:ascii="標楷體" w:hAnsi="標楷體" w:eastAsia="標楷體"/>
          <w:lang w:val="en-US" w:eastAsia="zh-TW"/>
        </w:rPr>
        <w:t>0</w:t>
      </w:r>
      <w:r>
        <w:rPr>
          <w:rFonts w:hint="eastAsia" w:ascii="標楷體" w:hAnsi="標楷體" w:eastAsia="標楷體"/>
        </w:rPr>
        <w:t>/</w:t>
      </w:r>
      <w:r>
        <w:rPr>
          <w:rFonts w:hint="eastAsia" w:ascii="標楷體" w:hAnsi="標楷體" w:eastAsia="標楷體"/>
          <w:lang w:val="en-US" w:eastAsia="zh-TW"/>
        </w:rPr>
        <w:t>17</w:t>
      </w:r>
      <w:r>
        <w:rPr>
          <w:rFonts w:hint="eastAsia" w:ascii="標楷體" w:hAnsi="標楷體" w:eastAsia="標楷體"/>
        </w:rPr>
        <w:t xml:space="preserve">(星期四)17：00止，若名額已滿，將提前結束報名！ </w:t>
      </w:r>
      <w:r>
        <w:rPr>
          <w:rFonts w:hint="eastAsia" w:ascii="標楷體" w:hAnsi="標楷體" w:eastAsia="標楷體"/>
        </w:rPr>
        <w:fldChar w:fldCharType="begin"/>
      </w:r>
      <w:r>
        <w:rPr>
          <w:rFonts w:hint="eastAsia" w:ascii="標楷體" w:hAnsi="標楷體" w:eastAsia="標楷體"/>
        </w:rPr>
        <w:instrText xml:space="preserve"> HYPERLINK "https://forms.gle/fJerjQa8GfdHpDFN8" </w:instrText>
      </w:r>
      <w:r>
        <w:rPr>
          <w:rFonts w:hint="eastAsia" w:ascii="標楷體" w:hAnsi="標楷體" w:eastAsia="標楷體"/>
        </w:rPr>
        <w:fldChar w:fldCharType="separate"/>
      </w:r>
      <w:r>
        <w:rPr>
          <w:rStyle w:val="6"/>
          <w:rFonts w:hint="eastAsia" w:ascii="標楷體" w:hAnsi="標楷體" w:eastAsia="標楷體"/>
        </w:rPr>
        <w:t xml:space="preserve"> </w:t>
      </w:r>
      <w:r>
        <w:rPr>
          <w:rStyle w:val="6"/>
          <w:rFonts w:hint="eastAsia"/>
        </w:rPr>
        <w:t>https://forms.gle/fJerjQa8GfdHpDFN8</w:t>
      </w:r>
      <w:r>
        <w:rPr>
          <w:rStyle w:val="6"/>
          <w:rFonts w:hint="eastAsia" w:ascii="標楷體" w:hAnsi="標楷體" w:eastAsia="標楷體"/>
        </w:rPr>
        <w:t xml:space="preserve">  </w:t>
      </w:r>
      <w:r>
        <w:rPr>
          <w:rFonts w:hint="eastAsia" w:ascii="標楷體" w:hAnsi="標楷體" w:eastAsia="標楷體"/>
        </w:rPr>
        <w:fldChar w:fldCharType="end"/>
      </w:r>
    </w:p>
    <w:p>
      <w:pPr>
        <w:rPr>
          <w:rFonts w:hint="eastAsia" w:ascii="標楷體" w:hAnsi="標楷體" w:eastAsia="標楷體"/>
        </w:rPr>
      </w:pPr>
      <w:r>
        <w:rPr>
          <w:rFonts w:hint="eastAsia"/>
          <w:lang w:val="en-US" w:eastAsia="zh-TW"/>
        </w:rPr>
        <w:t xml:space="preserve">                                                           </w:t>
      </w:r>
    </w:p>
    <w:p>
      <w:pPr>
        <w:ind w:firstLine="480" w:firstLineChars="200"/>
        <w:rPr>
          <w:rStyle w:val="6"/>
          <w:rFonts w:hint="eastAsia" w:eastAsia="新細明體"/>
          <w:color w:val="auto"/>
          <w:u w:val="none"/>
          <w:lang w:val="en-US" w:eastAsia="zh-TW"/>
        </w:rPr>
      </w:pPr>
    </w:p>
    <w:p>
      <w:pPr>
        <w:ind w:left="720" w:hanging="720" w:hangingChars="300"/>
        <w:rPr>
          <w:rFonts w:ascii="標楷體" w:hAnsi="標楷體" w:eastAsia="標楷體"/>
        </w:rPr>
      </w:pPr>
      <w:r>
        <w:rPr>
          <w:rFonts w:hint="eastAsia" w:ascii="標楷體" w:hAnsi="標楷體" w:eastAsia="標楷體"/>
        </w:rPr>
        <w:t>八、聯絡方式：臺中市失智共同照護中心  04-24739595轉38123</w:t>
      </w:r>
    </w:p>
    <w:p>
      <w:pPr>
        <w:numPr>
          <w:ilvl w:val="0"/>
          <w:numId w:val="1"/>
        </w:numPr>
        <w:rPr>
          <w:rFonts w:ascii="標楷體" w:hAnsi="標楷體" w:eastAsia="標楷體"/>
        </w:rPr>
      </w:pPr>
      <w:r>
        <w:rPr>
          <w:rFonts w:hint="eastAsia" w:ascii="標楷體" w:hAnsi="標楷體" w:eastAsia="標楷體"/>
        </w:rPr>
        <w:t>研習會議程：</w:t>
      </w:r>
    </w:p>
    <w:p>
      <w:pPr>
        <w:rPr>
          <w:rFonts w:ascii="標楷體" w:hAnsi="標楷體" w:eastAsia="標楷體"/>
        </w:rPr>
      </w:pPr>
    </w:p>
    <w:tbl>
      <w:tblPr>
        <w:tblStyle w:val="8"/>
        <w:tblW w:w="9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425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3" w:type="dxa"/>
          </w:tcPr>
          <w:p>
            <w:pPr>
              <w:jc w:val="center"/>
              <w:rPr>
                <w:rFonts w:ascii="標楷體" w:hAnsi="標楷體" w:eastAsia="標楷體"/>
              </w:rPr>
            </w:pPr>
            <w:r>
              <w:rPr>
                <w:rFonts w:hint="eastAsia" w:ascii="標楷體" w:hAnsi="標楷體" w:eastAsia="標楷體"/>
              </w:rPr>
              <w:t>時間</w:t>
            </w:r>
          </w:p>
        </w:tc>
        <w:tc>
          <w:tcPr>
            <w:tcW w:w="4253" w:type="dxa"/>
          </w:tcPr>
          <w:p>
            <w:pPr>
              <w:jc w:val="center"/>
              <w:rPr>
                <w:rFonts w:ascii="標楷體" w:hAnsi="標楷體" w:eastAsia="標楷體"/>
              </w:rPr>
            </w:pPr>
            <w:r>
              <w:rPr>
                <w:rFonts w:hint="eastAsia" w:ascii="標楷體" w:hAnsi="標楷體" w:eastAsia="標楷體"/>
              </w:rPr>
              <w:t>課程</w:t>
            </w:r>
          </w:p>
        </w:tc>
        <w:tc>
          <w:tcPr>
            <w:tcW w:w="3118" w:type="dxa"/>
          </w:tcPr>
          <w:p>
            <w:pPr>
              <w:jc w:val="center"/>
              <w:rPr>
                <w:rFonts w:ascii="標楷體" w:hAnsi="標楷體" w:eastAsia="標楷體"/>
              </w:rPr>
            </w:pPr>
            <w:r>
              <w:rPr>
                <w:rFonts w:hint="eastAsia" w:ascii="標楷體" w:hAnsi="標楷體" w:eastAsia="標楷體"/>
              </w:rPr>
              <w:t>單位/講師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3" w:type="dxa"/>
            <w:vAlign w:val="center"/>
          </w:tcPr>
          <w:p>
            <w:pPr>
              <w:jc w:val="center"/>
              <w:rPr>
                <w:rFonts w:ascii="標楷體" w:hAnsi="標楷體" w:eastAsia="標楷體"/>
              </w:rPr>
            </w:pPr>
            <w:r>
              <w:rPr>
                <w:rFonts w:hint="eastAsia" w:ascii="標楷體" w:hAnsi="標楷體" w:eastAsia="標楷體"/>
              </w:rPr>
              <w:t>8:00~8:25</w:t>
            </w:r>
          </w:p>
        </w:tc>
        <w:tc>
          <w:tcPr>
            <w:tcW w:w="7371" w:type="dxa"/>
            <w:gridSpan w:val="2"/>
          </w:tcPr>
          <w:p>
            <w:pPr>
              <w:jc w:val="center"/>
              <w:rPr>
                <w:rFonts w:ascii="標楷體" w:hAnsi="標楷體" w:eastAsia="標楷體"/>
              </w:rPr>
            </w:pPr>
            <w:r>
              <w:rPr>
                <w:rFonts w:hint="eastAsia" w:ascii="標楷體" w:hAnsi="標楷體" w:eastAsia="標楷體"/>
              </w:rPr>
              <w:t>報到時間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3" w:type="dxa"/>
            <w:vAlign w:val="center"/>
          </w:tcPr>
          <w:p>
            <w:pPr>
              <w:jc w:val="center"/>
              <w:rPr>
                <w:rFonts w:ascii="標楷體" w:hAnsi="標楷體" w:eastAsia="標楷體"/>
              </w:rPr>
            </w:pPr>
            <w:r>
              <w:rPr>
                <w:rFonts w:hint="eastAsia" w:ascii="標楷體" w:hAnsi="標楷體" w:eastAsia="標楷體"/>
              </w:rPr>
              <w:t>8:25~8:30</w:t>
            </w:r>
          </w:p>
        </w:tc>
        <w:tc>
          <w:tcPr>
            <w:tcW w:w="4253" w:type="dxa"/>
            <w:vAlign w:val="center"/>
          </w:tcPr>
          <w:p>
            <w:pPr>
              <w:jc w:val="center"/>
              <w:rPr>
                <w:rFonts w:ascii="標楷體" w:hAnsi="標楷體" w:eastAsia="標楷體"/>
              </w:rPr>
            </w:pPr>
            <w:r>
              <w:rPr>
                <w:rFonts w:hint="eastAsia" w:ascii="標楷體" w:hAnsi="標楷體" w:eastAsia="標楷體"/>
              </w:rPr>
              <w:t>長官致詞</w:t>
            </w:r>
          </w:p>
        </w:tc>
        <w:tc>
          <w:tcPr>
            <w:tcW w:w="3118" w:type="dxa"/>
          </w:tcPr>
          <w:p>
            <w:pPr>
              <w:jc w:val="center"/>
              <w:rPr>
                <w:rFonts w:ascii="標楷體" w:hAnsi="標楷體" w:eastAsia="標楷體"/>
              </w:rPr>
            </w:pPr>
            <w:r>
              <w:rPr>
                <w:rFonts w:hint="eastAsia" w:ascii="標楷體" w:hAnsi="標楷體" w:eastAsia="標楷體"/>
              </w:rPr>
              <w:t>台中市護理師護士公會</w:t>
            </w:r>
          </w:p>
          <w:p>
            <w:pPr>
              <w:jc w:val="center"/>
              <w:rPr>
                <w:rFonts w:ascii="標楷體" w:hAnsi="標楷體" w:eastAsia="標楷體"/>
              </w:rPr>
            </w:pPr>
            <w:r>
              <w:rPr>
                <w:rFonts w:hint="eastAsia" w:ascii="標楷體" w:hAnsi="標楷體" w:eastAsia="標楷體"/>
              </w:rPr>
              <w:t>李秋香 理事長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923" w:type="dxa"/>
            <w:vAlign w:val="center"/>
          </w:tcPr>
          <w:p>
            <w:pPr>
              <w:jc w:val="center"/>
              <w:rPr>
                <w:rFonts w:ascii="標楷體" w:hAnsi="標楷體" w:eastAsia="標楷體"/>
              </w:rPr>
            </w:pPr>
            <w:r>
              <w:rPr>
                <w:rFonts w:hint="eastAsia" w:ascii="標楷體" w:hAnsi="標楷體" w:eastAsia="標楷體"/>
              </w:rPr>
              <w:t>8:30~09:20</w:t>
            </w:r>
          </w:p>
        </w:tc>
        <w:tc>
          <w:tcPr>
            <w:tcW w:w="4253" w:type="dxa"/>
            <w:vAlign w:val="center"/>
          </w:tcPr>
          <w:p>
            <w:pPr>
              <w:jc w:val="center"/>
              <w:rPr>
                <w:rFonts w:hint="eastAsia" w:ascii="標楷體" w:hAnsi="標楷體" w:eastAsia="標楷體"/>
                <w:lang w:val="en-US" w:eastAsia="zh-TW"/>
              </w:rPr>
            </w:pPr>
            <w:r>
              <w:rPr>
                <w:rFonts w:hint="eastAsia" w:ascii="標楷體" w:hAnsi="標楷體" w:eastAsia="標楷體"/>
              </w:rPr>
              <w:t>失智症安寧療護</w:t>
            </w:r>
            <w:r>
              <w:rPr>
                <w:rFonts w:hint="eastAsia" w:ascii="標楷體" w:hAnsi="標楷體" w:eastAsia="標楷體"/>
                <w:lang w:val="en-US" w:eastAsia="zh-TW"/>
              </w:rPr>
              <w:t>(倫理議題</w:t>
            </w:r>
            <w:bookmarkStart w:id="0" w:name="_GoBack"/>
            <w:bookmarkEnd w:id="0"/>
            <w:r>
              <w:rPr>
                <w:rFonts w:hint="eastAsia" w:ascii="標楷體" w:hAnsi="標楷體" w:eastAsia="標楷體"/>
                <w:lang w:val="en-US" w:eastAsia="zh-TW"/>
              </w:rPr>
              <w:t>)</w:t>
            </w:r>
          </w:p>
        </w:tc>
        <w:tc>
          <w:tcPr>
            <w:tcW w:w="3118" w:type="dxa"/>
            <w:vAlign w:val="center"/>
          </w:tcPr>
          <w:p>
            <w:pPr>
              <w:jc w:val="center"/>
              <w:rPr>
                <w:rFonts w:ascii="標楷體" w:hAnsi="標楷體" w:eastAsia="標楷體"/>
              </w:rPr>
            </w:pPr>
            <w:r>
              <w:rPr>
                <w:rFonts w:hint="eastAsia" w:ascii="標楷體" w:hAnsi="標楷體" w:eastAsia="標楷體"/>
              </w:rPr>
              <w:t>王素鸿 護理長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3" w:type="dxa"/>
            <w:vAlign w:val="center"/>
          </w:tcPr>
          <w:p>
            <w:pPr>
              <w:jc w:val="center"/>
              <w:rPr>
                <w:rFonts w:ascii="標楷體" w:hAnsi="標楷體" w:eastAsia="標楷體"/>
              </w:rPr>
            </w:pPr>
            <w:r>
              <w:rPr>
                <w:rFonts w:hint="eastAsia" w:ascii="標楷體" w:hAnsi="標楷體" w:eastAsia="標楷體"/>
              </w:rPr>
              <w:t>09:20~10:10</w:t>
            </w:r>
          </w:p>
        </w:tc>
        <w:tc>
          <w:tcPr>
            <w:tcW w:w="4253" w:type="dxa"/>
            <w:vAlign w:val="center"/>
          </w:tcPr>
          <w:p>
            <w:pPr>
              <w:jc w:val="center"/>
              <w:rPr>
                <w:rFonts w:ascii="標楷體" w:hAnsi="標楷體" w:eastAsia="標楷體"/>
              </w:rPr>
            </w:pPr>
            <w:r>
              <w:rPr>
                <w:rFonts w:hint="eastAsia" w:ascii="標楷體" w:hAnsi="標楷體" w:eastAsia="標楷體"/>
              </w:rPr>
              <w:t>失智症的法律議題</w:t>
            </w:r>
          </w:p>
        </w:tc>
        <w:tc>
          <w:tcPr>
            <w:tcW w:w="3118" w:type="dxa"/>
            <w:vAlign w:val="center"/>
          </w:tcPr>
          <w:p>
            <w:pPr>
              <w:jc w:val="center"/>
              <w:rPr>
                <w:rFonts w:ascii="標楷體" w:hAnsi="標楷體" w:eastAsia="標楷體"/>
              </w:rPr>
            </w:pPr>
            <w:r>
              <w:rPr>
                <w:rFonts w:hint="eastAsia" w:ascii="標楷體" w:hAnsi="標楷體" w:eastAsia="標楷體"/>
              </w:rPr>
              <w:t>張居自 法務室主任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3" w:type="dxa"/>
            <w:vAlign w:val="center"/>
          </w:tcPr>
          <w:p>
            <w:pPr>
              <w:jc w:val="center"/>
              <w:rPr>
                <w:rFonts w:ascii="標楷體" w:hAnsi="標楷體" w:eastAsia="標楷體"/>
              </w:rPr>
            </w:pPr>
            <w:r>
              <w:rPr>
                <w:rFonts w:hint="eastAsia" w:ascii="標楷體" w:hAnsi="標楷體" w:eastAsia="標楷體"/>
              </w:rPr>
              <w:t>10:10~10:20</w:t>
            </w:r>
          </w:p>
        </w:tc>
        <w:tc>
          <w:tcPr>
            <w:tcW w:w="7371" w:type="dxa"/>
            <w:gridSpan w:val="2"/>
          </w:tcPr>
          <w:p>
            <w:pPr>
              <w:jc w:val="center"/>
              <w:rPr>
                <w:rFonts w:ascii="標楷體" w:hAnsi="標楷體" w:eastAsia="標楷體"/>
              </w:rPr>
            </w:pPr>
            <w:r>
              <w:rPr>
                <w:rFonts w:hint="eastAsia" w:ascii="標楷體" w:hAnsi="標楷體" w:eastAsia="標楷體"/>
              </w:rPr>
              <w:t>休息時間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923" w:type="dxa"/>
            <w:vAlign w:val="center"/>
          </w:tcPr>
          <w:p>
            <w:pPr>
              <w:jc w:val="center"/>
              <w:rPr>
                <w:rFonts w:ascii="標楷體" w:hAnsi="標楷體" w:eastAsia="標楷體"/>
              </w:rPr>
            </w:pPr>
            <w:r>
              <w:rPr>
                <w:rFonts w:hint="eastAsia" w:ascii="標楷體" w:hAnsi="標楷體" w:eastAsia="標楷體"/>
              </w:rPr>
              <w:t>10:20~12:00</w:t>
            </w:r>
          </w:p>
        </w:tc>
        <w:tc>
          <w:tcPr>
            <w:tcW w:w="4253" w:type="dxa"/>
            <w:vAlign w:val="center"/>
          </w:tcPr>
          <w:p>
            <w:pPr>
              <w:jc w:val="center"/>
              <w:rPr>
                <w:rFonts w:ascii="標楷體" w:hAnsi="標楷體" w:eastAsia="標楷體"/>
              </w:rPr>
            </w:pPr>
            <w:r>
              <w:rPr>
                <w:rFonts w:hint="eastAsia" w:ascii="標楷體" w:hAnsi="標楷體" w:eastAsia="標楷體"/>
              </w:rPr>
              <w:t>失智症不同階段照顧重點方法</w:t>
            </w:r>
          </w:p>
          <w:p>
            <w:pPr>
              <w:jc w:val="center"/>
              <w:rPr>
                <w:rFonts w:ascii="標楷體" w:hAnsi="標楷體" w:eastAsia="標楷體"/>
              </w:rPr>
            </w:pPr>
            <w:r>
              <w:rPr>
                <w:rFonts w:hint="eastAsia" w:ascii="標楷體" w:hAnsi="標楷體" w:eastAsia="標楷體"/>
              </w:rPr>
              <w:t>~失智症口腔照顧</w:t>
            </w:r>
          </w:p>
        </w:tc>
        <w:tc>
          <w:tcPr>
            <w:tcW w:w="3118" w:type="dxa"/>
            <w:vAlign w:val="center"/>
          </w:tcPr>
          <w:p>
            <w:pPr>
              <w:jc w:val="center"/>
              <w:rPr>
                <w:rFonts w:ascii="標楷體" w:hAnsi="標楷體" w:eastAsia="標楷體"/>
              </w:rPr>
            </w:pPr>
            <w:r>
              <w:rPr>
                <w:rFonts w:hint="eastAsia" w:ascii="標楷體" w:hAnsi="標楷體" w:eastAsia="標楷體"/>
              </w:rPr>
              <w:t>余全航 醫師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3" w:type="dxa"/>
            <w:vAlign w:val="center"/>
          </w:tcPr>
          <w:p>
            <w:pPr>
              <w:jc w:val="center"/>
              <w:rPr>
                <w:rFonts w:ascii="標楷體" w:hAnsi="標楷體" w:eastAsia="標楷體"/>
              </w:rPr>
            </w:pPr>
            <w:r>
              <w:rPr>
                <w:rFonts w:hint="eastAsia" w:ascii="標楷體" w:hAnsi="標楷體" w:eastAsia="標楷體"/>
              </w:rPr>
              <w:t>12:00~13:30</w:t>
            </w:r>
          </w:p>
        </w:tc>
        <w:tc>
          <w:tcPr>
            <w:tcW w:w="7371" w:type="dxa"/>
            <w:gridSpan w:val="2"/>
          </w:tcPr>
          <w:p>
            <w:pPr>
              <w:jc w:val="center"/>
              <w:rPr>
                <w:rFonts w:ascii="標楷體" w:hAnsi="標楷體" w:eastAsia="標楷體"/>
              </w:rPr>
            </w:pPr>
            <w:r>
              <w:rPr>
                <w:rFonts w:hint="eastAsia" w:ascii="標楷體" w:hAnsi="標楷體" w:eastAsia="標楷體"/>
              </w:rPr>
              <w:t>休息時間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923" w:type="dxa"/>
            <w:vAlign w:val="center"/>
          </w:tcPr>
          <w:p>
            <w:pPr>
              <w:jc w:val="center"/>
              <w:rPr>
                <w:rFonts w:ascii="標楷體" w:hAnsi="標楷體" w:eastAsia="標楷體"/>
              </w:rPr>
            </w:pPr>
            <w:r>
              <w:rPr>
                <w:rFonts w:hint="eastAsia" w:ascii="標楷體" w:hAnsi="標楷體" w:eastAsia="標楷體"/>
              </w:rPr>
              <w:t>13:30~14:20</w:t>
            </w:r>
          </w:p>
        </w:tc>
        <w:tc>
          <w:tcPr>
            <w:tcW w:w="4253" w:type="dxa"/>
            <w:vAlign w:val="center"/>
          </w:tcPr>
          <w:p>
            <w:pPr>
              <w:jc w:val="center"/>
              <w:rPr>
                <w:rFonts w:ascii="標楷體" w:hAnsi="標楷體" w:eastAsia="標楷體"/>
              </w:rPr>
            </w:pPr>
            <w:r>
              <w:rPr>
                <w:rFonts w:hint="eastAsia" w:ascii="標楷體" w:hAnsi="標楷體" w:eastAsia="標楷體"/>
              </w:rPr>
              <w:t>失智症精神行為問題及其照顧</w:t>
            </w:r>
          </w:p>
        </w:tc>
        <w:tc>
          <w:tcPr>
            <w:tcW w:w="3118" w:type="dxa"/>
            <w:vAlign w:val="center"/>
          </w:tcPr>
          <w:p>
            <w:pPr>
              <w:jc w:val="center"/>
              <w:rPr>
                <w:rFonts w:ascii="標楷體" w:hAnsi="標楷體" w:eastAsia="標楷體"/>
              </w:rPr>
            </w:pPr>
            <w:r>
              <w:rPr>
                <w:rFonts w:hint="eastAsia" w:ascii="標楷體" w:hAnsi="標楷體" w:eastAsia="標楷體"/>
              </w:rPr>
              <w:t>張清綦 醫師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923" w:type="dxa"/>
            <w:vAlign w:val="center"/>
          </w:tcPr>
          <w:p>
            <w:pPr>
              <w:jc w:val="center"/>
              <w:rPr>
                <w:rFonts w:ascii="標楷體" w:hAnsi="標楷體" w:eastAsia="標楷體"/>
              </w:rPr>
            </w:pPr>
            <w:r>
              <w:rPr>
                <w:rFonts w:hint="eastAsia" w:ascii="標楷體" w:hAnsi="標楷體" w:eastAsia="標楷體"/>
              </w:rPr>
              <w:t>14:20~15:10</w:t>
            </w:r>
          </w:p>
        </w:tc>
        <w:tc>
          <w:tcPr>
            <w:tcW w:w="4253" w:type="dxa"/>
            <w:vAlign w:val="center"/>
          </w:tcPr>
          <w:p>
            <w:pPr>
              <w:jc w:val="center"/>
              <w:rPr>
                <w:rFonts w:ascii="標楷體" w:hAnsi="標楷體" w:eastAsia="標楷體"/>
              </w:rPr>
            </w:pPr>
            <w:r>
              <w:rPr>
                <w:rFonts w:hint="eastAsia" w:ascii="標楷體" w:hAnsi="標楷體" w:eastAsia="標楷體"/>
              </w:rPr>
              <w:t>與失智者溝通之原則與技巧</w:t>
            </w:r>
          </w:p>
        </w:tc>
        <w:tc>
          <w:tcPr>
            <w:tcW w:w="3118" w:type="dxa"/>
            <w:vAlign w:val="center"/>
          </w:tcPr>
          <w:p>
            <w:pPr>
              <w:jc w:val="center"/>
              <w:rPr>
                <w:rFonts w:ascii="標楷體" w:hAnsi="標楷體" w:eastAsia="標楷體"/>
              </w:rPr>
            </w:pPr>
            <w:r>
              <w:rPr>
                <w:rFonts w:hint="eastAsia" w:ascii="標楷體" w:hAnsi="標楷體" w:eastAsia="標楷體"/>
              </w:rPr>
              <w:t>郭慈安 理事長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923" w:type="dxa"/>
            <w:vAlign w:val="center"/>
          </w:tcPr>
          <w:p>
            <w:pPr>
              <w:jc w:val="center"/>
              <w:rPr>
                <w:rFonts w:ascii="標楷體" w:hAnsi="標楷體" w:eastAsia="標楷體"/>
              </w:rPr>
            </w:pPr>
            <w:r>
              <w:rPr>
                <w:rFonts w:hint="eastAsia" w:ascii="標楷體" w:hAnsi="標楷體" w:eastAsia="標楷體"/>
              </w:rPr>
              <w:t>15:10~15:20</w:t>
            </w:r>
          </w:p>
        </w:tc>
        <w:tc>
          <w:tcPr>
            <w:tcW w:w="7371" w:type="dxa"/>
            <w:gridSpan w:val="2"/>
            <w:vAlign w:val="center"/>
          </w:tcPr>
          <w:p>
            <w:pPr>
              <w:jc w:val="center"/>
              <w:rPr>
                <w:rFonts w:ascii="標楷體" w:hAnsi="標楷體" w:eastAsia="標楷體"/>
              </w:rPr>
            </w:pPr>
            <w:r>
              <w:rPr>
                <w:rFonts w:hint="eastAsia" w:ascii="標楷體" w:hAnsi="標楷體" w:eastAsia="標楷體"/>
              </w:rPr>
              <w:t>休息時間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923" w:type="dxa"/>
            <w:vAlign w:val="center"/>
          </w:tcPr>
          <w:p>
            <w:pPr>
              <w:jc w:val="center"/>
              <w:rPr>
                <w:rFonts w:ascii="標楷體" w:hAnsi="標楷體" w:eastAsia="標楷體"/>
              </w:rPr>
            </w:pPr>
            <w:r>
              <w:rPr>
                <w:rFonts w:hint="eastAsia" w:ascii="標楷體" w:hAnsi="標楷體" w:eastAsia="標楷體"/>
              </w:rPr>
              <w:t>15:20~17:00</w:t>
            </w:r>
          </w:p>
        </w:tc>
        <w:tc>
          <w:tcPr>
            <w:tcW w:w="4253" w:type="dxa"/>
            <w:vAlign w:val="center"/>
          </w:tcPr>
          <w:p>
            <w:pPr>
              <w:jc w:val="center"/>
              <w:rPr>
                <w:rFonts w:ascii="標楷體" w:hAnsi="標楷體" w:eastAsia="標楷體"/>
              </w:rPr>
            </w:pPr>
            <w:r>
              <w:rPr>
                <w:rFonts w:hint="eastAsia" w:ascii="標楷體" w:hAnsi="標楷體" w:eastAsia="標楷體"/>
              </w:rPr>
              <w:t>失智者活動安排與環境營造</w:t>
            </w:r>
          </w:p>
        </w:tc>
        <w:tc>
          <w:tcPr>
            <w:tcW w:w="3118" w:type="dxa"/>
            <w:vAlign w:val="center"/>
          </w:tcPr>
          <w:p>
            <w:pPr>
              <w:jc w:val="center"/>
              <w:rPr>
                <w:rFonts w:ascii="標楷體" w:hAnsi="標楷體" w:eastAsia="標楷體"/>
              </w:rPr>
            </w:pPr>
            <w:r>
              <w:rPr>
                <w:rFonts w:hint="eastAsia" w:ascii="標楷體" w:hAnsi="標楷體" w:eastAsia="標楷體"/>
              </w:rPr>
              <w:t>賴郁芬 物理治療師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3" w:type="dxa"/>
            <w:vAlign w:val="center"/>
          </w:tcPr>
          <w:p>
            <w:pPr>
              <w:jc w:val="center"/>
              <w:rPr>
                <w:rFonts w:ascii="標楷體" w:hAnsi="標楷體" w:eastAsia="標楷體"/>
              </w:rPr>
            </w:pPr>
            <w:r>
              <w:rPr>
                <w:rFonts w:hint="eastAsia" w:ascii="標楷體" w:hAnsi="標楷體" w:eastAsia="標楷體"/>
              </w:rPr>
              <w:t>17:00</w:t>
            </w:r>
          </w:p>
        </w:tc>
        <w:tc>
          <w:tcPr>
            <w:tcW w:w="7371" w:type="dxa"/>
            <w:gridSpan w:val="2"/>
          </w:tcPr>
          <w:p>
            <w:pPr>
              <w:jc w:val="center"/>
              <w:rPr>
                <w:rFonts w:ascii="標楷體" w:hAnsi="標楷體" w:eastAsia="標楷體"/>
              </w:rPr>
            </w:pPr>
            <w:r>
              <w:rPr>
                <w:rFonts w:hint="eastAsia" w:ascii="標楷體" w:hAnsi="標楷體" w:eastAsia="標楷體"/>
              </w:rPr>
              <w:t>散會</w:t>
            </w:r>
          </w:p>
        </w:tc>
      </w:tr>
    </w:tbl>
    <w:p>
      <w:pPr>
        <w:rPr>
          <w:rFonts w:ascii="標楷體" w:hAnsi="標楷體" w:eastAsia="標楷體"/>
        </w:rPr>
      </w:pPr>
      <w:r>
        <w:rPr>
          <w:rFonts w:hint="eastAsia" w:ascii="標楷體" w:hAnsi="標楷體" w:eastAsia="標楷體"/>
        </w:rPr>
        <w:t xml:space="preserve">  ※主講者簡介 (依課程順序排列)</w:t>
      </w:r>
    </w:p>
    <w:p>
      <w:pPr>
        <w:rPr>
          <w:rFonts w:ascii="標楷體" w:hAnsi="標楷體" w:eastAsia="標楷體"/>
        </w:rPr>
      </w:pPr>
      <w:r>
        <w:rPr>
          <w:rFonts w:hint="eastAsia" w:ascii="標楷體" w:hAnsi="標楷體" w:eastAsia="標楷體"/>
        </w:rPr>
        <w:t xml:space="preserve">  李秋香    中山醫學大學附設醫院護理部副院長</w:t>
      </w:r>
    </w:p>
    <w:p>
      <w:pPr>
        <w:rPr>
          <w:rFonts w:ascii="標楷體" w:hAnsi="標楷體" w:eastAsia="標楷體"/>
        </w:rPr>
      </w:pPr>
      <w:r>
        <w:rPr>
          <w:rFonts w:hint="eastAsia" w:ascii="標楷體" w:hAnsi="標楷體" w:eastAsia="標楷體"/>
        </w:rPr>
        <w:t xml:space="preserve">  王素鸿    中山醫學大學附設醫院 安寧病房護理長</w:t>
      </w:r>
    </w:p>
    <w:p>
      <w:pPr>
        <w:rPr>
          <w:rFonts w:ascii="標楷體" w:hAnsi="標楷體" w:eastAsia="標楷體"/>
        </w:rPr>
      </w:pPr>
      <w:r>
        <w:rPr>
          <w:rFonts w:hint="eastAsia" w:ascii="標楷體" w:hAnsi="標楷體" w:eastAsia="標楷體"/>
        </w:rPr>
        <w:t xml:space="preserve">  張居自    中山醫學大學附設醫院 法務室主任</w:t>
      </w:r>
    </w:p>
    <w:p>
      <w:pPr>
        <w:rPr>
          <w:rFonts w:ascii="標楷體" w:hAnsi="標楷體" w:eastAsia="標楷體"/>
        </w:rPr>
      </w:pPr>
      <w:r>
        <w:rPr>
          <w:rFonts w:hint="eastAsia" w:ascii="標楷體" w:hAnsi="標楷體" w:eastAsia="標楷體"/>
        </w:rPr>
        <w:t xml:space="preserve">  余全航    中山醫學大學附設醫院特殊需求者口腔醫學科 主治醫師</w:t>
      </w:r>
    </w:p>
    <w:p>
      <w:pPr>
        <w:rPr>
          <w:rFonts w:ascii="標楷體" w:hAnsi="標楷體" w:eastAsia="標楷體"/>
        </w:rPr>
      </w:pPr>
      <w:r>
        <w:rPr>
          <w:rFonts w:hint="eastAsia" w:ascii="標楷體" w:hAnsi="標楷體" w:eastAsia="標楷體"/>
        </w:rPr>
        <w:t xml:space="preserve">  張清綦    中山醫學大學附設醫院精神科 主治醫師</w:t>
      </w:r>
    </w:p>
    <w:p>
      <w:pPr>
        <w:rPr>
          <w:rFonts w:ascii="標楷體" w:hAnsi="標楷體" w:eastAsia="標楷體"/>
        </w:rPr>
      </w:pPr>
      <w:r>
        <w:rPr>
          <w:rFonts w:hint="eastAsia" w:ascii="標楷體" w:hAnsi="標楷體" w:eastAsia="標楷體"/>
        </w:rPr>
        <w:t xml:space="preserve">  賴郁芬    中山醫學大學附設醫院骨盆機能整合照護中心 物理治療師</w:t>
      </w:r>
    </w:p>
    <w:p>
      <w:pPr>
        <w:rPr>
          <w:rFonts w:ascii="標楷體" w:hAnsi="標楷體" w:eastAsia="標楷體"/>
        </w:rPr>
      </w:pPr>
      <w:r>
        <w:rPr>
          <w:rFonts w:hint="eastAsia" w:ascii="標楷體" w:hAnsi="標楷體" w:eastAsia="標楷體"/>
        </w:rPr>
        <w:t xml:space="preserve">  郭慈安    中華民國家庭照顧者關懷總會 理事長</w:t>
      </w:r>
    </w:p>
    <w:p>
      <w:pPr>
        <w:rPr>
          <w:rFonts w:ascii="標楷體" w:hAnsi="標楷體" w:eastAsia="標楷體"/>
        </w:rPr>
      </w:pPr>
      <w:r>
        <w:rPr>
          <w:rFonts w:hint="eastAsia" w:ascii="標楷體" w:hAnsi="標楷體" w:eastAsia="標楷體"/>
        </w:rPr>
        <w:t xml:space="preserve">            臺中市失智共照中心~中山附醫 執行長</w:t>
      </w:r>
    </w:p>
    <w:p>
      <w:pPr>
        <w:rPr>
          <w:rFonts w:ascii="標楷體" w:hAnsi="標楷體" w:eastAsia="標楷體"/>
        </w:rPr>
      </w:pPr>
    </w:p>
    <w:p>
      <w:pPr>
        <w:rPr>
          <w:rFonts w:ascii="標楷體" w:hAnsi="標楷體" w:eastAsia="標楷體"/>
        </w:rPr>
      </w:pPr>
      <w:r>
        <w:rPr>
          <w:rFonts w:hint="eastAsia" w:ascii="標楷體" w:hAnsi="標楷體" w:eastAsia="標楷體"/>
        </w:rPr>
        <w:t>十、上課須知及簽到退注意事項：</w:t>
      </w:r>
      <w:r>
        <w:rPr>
          <w:rFonts w:ascii="標楷體" w:hAnsi="標楷體" w:eastAsia="標楷體"/>
        </w:rPr>
        <w:t xml:space="preserve"> </w:t>
      </w:r>
    </w:p>
    <w:p>
      <w:pPr>
        <w:pStyle w:val="12"/>
        <w:numPr>
          <w:ilvl w:val="0"/>
          <w:numId w:val="2"/>
        </w:numPr>
        <w:ind w:leftChars="0"/>
        <w:rPr>
          <w:rFonts w:ascii="標楷體" w:hAnsi="標楷體" w:eastAsia="標楷體"/>
        </w:rPr>
      </w:pPr>
      <w:r>
        <w:rPr>
          <w:rFonts w:hint="eastAsia" w:ascii="標楷體" w:hAnsi="標楷體" w:eastAsia="標楷體"/>
        </w:rPr>
        <w:t>此活動全程免費，請報名後務必參與或提前取消報名，以免影響他人權益。</w:t>
      </w:r>
    </w:p>
    <w:p>
      <w:pPr>
        <w:pStyle w:val="12"/>
        <w:numPr>
          <w:ilvl w:val="0"/>
          <w:numId w:val="2"/>
        </w:numPr>
        <w:ind w:leftChars="0"/>
        <w:rPr>
          <w:rFonts w:ascii="標楷體" w:hAnsi="標楷體" w:eastAsia="標楷體"/>
        </w:rPr>
      </w:pPr>
      <w:r>
        <w:rPr>
          <w:rFonts w:hint="eastAsia" w:ascii="標楷體" w:hAnsi="標楷體" w:eastAsia="標楷體"/>
        </w:rPr>
        <w:t>課程僅提供中餐，為響應環保，學員請自備環保餐具及水杯</w:t>
      </w:r>
    </w:p>
    <w:p>
      <w:pPr>
        <w:pStyle w:val="12"/>
        <w:numPr>
          <w:ilvl w:val="0"/>
          <w:numId w:val="2"/>
        </w:numPr>
        <w:ind w:leftChars="0"/>
        <w:rPr>
          <w:rFonts w:ascii="標楷體" w:hAnsi="標楷體" w:eastAsia="標楷體"/>
        </w:rPr>
      </w:pPr>
      <w:r>
        <w:rPr>
          <w:rFonts w:hint="eastAsia" w:ascii="標楷體" w:hAnsi="標楷體" w:eastAsia="標楷體"/>
        </w:rPr>
        <w:t>本研習活動須完成全程課程後，始得到認證積分時數。</w:t>
      </w:r>
    </w:p>
    <w:p>
      <w:pPr>
        <w:pStyle w:val="12"/>
        <w:numPr>
          <w:ilvl w:val="0"/>
          <w:numId w:val="2"/>
        </w:numPr>
        <w:ind w:leftChars="0"/>
        <w:rPr>
          <w:rFonts w:ascii="標楷體" w:hAnsi="標楷體" w:eastAsia="標楷體"/>
        </w:rPr>
      </w:pPr>
      <w:r>
        <w:rPr>
          <w:rFonts w:hint="eastAsia" w:ascii="標楷體" w:hAnsi="標楷體" w:eastAsia="標楷體"/>
        </w:rPr>
        <w:t>簽到／退規定：學員需於上、下午第一堂課開始前辦理簽到，課程全部結束後辦理簽退，共需完成3次。</w:t>
      </w:r>
    </w:p>
    <w:p>
      <w:pPr>
        <w:pStyle w:val="12"/>
        <w:numPr>
          <w:ilvl w:val="0"/>
          <w:numId w:val="2"/>
        </w:numPr>
        <w:ind w:leftChars="0"/>
        <w:rPr>
          <w:rFonts w:ascii="標楷體" w:hAnsi="標楷體" w:eastAsia="標楷體"/>
        </w:rPr>
      </w:pPr>
      <w:r>
        <w:rPr>
          <w:rFonts w:hint="eastAsia" w:ascii="標楷體" w:hAnsi="標楷體" w:eastAsia="標楷體"/>
        </w:rPr>
        <w:t>未依前述規定辦理簽到及簽退者，本會恕無法給予繼續教育積分。</w:t>
      </w:r>
    </w:p>
    <w:p>
      <w:pPr>
        <w:pStyle w:val="12"/>
        <w:numPr>
          <w:ilvl w:val="0"/>
          <w:numId w:val="2"/>
        </w:numPr>
        <w:ind w:leftChars="0"/>
        <w:rPr>
          <w:rFonts w:ascii="標楷體" w:hAnsi="標楷體" w:eastAsia="標楷體"/>
        </w:rPr>
      </w:pPr>
      <w:r>
        <w:rPr>
          <w:rFonts w:hint="eastAsia" w:ascii="標楷體" w:hAnsi="標楷體" w:eastAsia="標楷體"/>
        </w:rPr>
        <w:t>遲到及早退規定：</w:t>
      </w:r>
    </w:p>
    <w:p>
      <w:pPr>
        <w:pStyle w:val="12"/>
        <w:numPr>
          <w:ilvl w:val="0"/>
          <w:numId w:val="3"/>
        </w:numPr>
        <w:ind w:leftChars="0" w:firstLine="229"/>
        <w:rPr>
          <w:rFonts w:ascii="標楷體" w:hAnsi="標楷體" w:eastAsia="標楷體"/>
        </w:rPr>
      </w:pPr>
      <w:r>
        <w:rPr>
          <w:rFonts w:hint="eastAsia" w:ascii="標楷體" w:hAnsi="標楷體" w:eastAsia="標楷體"/>
        </w:rPr>
        <w:t>遲到：指第一堂課程上課後15分鐘內未到。</w:t>
      </w:r>
    </w:p>
    <w:p>
      <w:pPr>
        <w:pStyle w:val="12"/>
        <w:numPr>
          <w:ilvl w:val="0"/>
          <w:numId w:val="3"/>
        </w:numPr>
        <w:ind w:leftChars="0" w:firstLine="229"/>
        <w:rPr>
          <w:rFonts w:ascii="標楷體" w:hAnsi="標楷體" w:eastAsia="標楷體"/>
        </w:rPr>
      </w:pPr>
      <w:r>
        <w:rPr>
          <w:rFonts w:hint="eastAsia" w:ascii="標楷體" w:hAnsi="標楷體" w:eastAsia="標楷體"/>
          <w:color w:val="FF0000"/>
        </w:rPr>
        <w:t>基於尊重講師，本研習無早退機制，敬請學員見諒。</w:t>
      </w:r>
    </w:p>
    <w:p>
      <w:pPr>
        <w:pStyle w:val="12"/>
        <w:numPr>
          <w:ilvl w:val="0"/>
          <w:numId w:val="3"/>
        </w:numPr>
        <w:ind w:leftChars="0" w:firstLine="229"/>
        <w:rPr>
          <w:rFonts w:ascii="標楷體" w:hAnsi="標楷體" w:eastAsia="標楷體"/>
        </w:rPr>
      </w:pPr>
      <w:r>
        <w:rPr>
          <w:rFonts w:hint="eastAsia" w:ascii="標楷體" w:hAnsi="標楷體" w:eastAsia="標楷體"/>
        </w:rPr>
        <w:t>課程實際簽到及簽退時間，依研習會活動實際時間為準。</w:t>
      </w:r>
    </w:p>
    <w:p>
      <w:pPr>
        <w:pStyle w:val="12"/>
        <w:numPr>
          <w:ilvl w:val="0"/>
          <w:numId w:val="3"/>
        </w:numPr>
        <w:ind w:leftChars="0" w:firstLine="229"/>
        <w:rPr>
          <w:rFonts w:ascii="標楷體" w:hAnsi="標楷體" w:eastAsia="標楷體"/>
        </w:rPr>
      </w:pPr>
      <w:r>
        <w:rPr>
          <w:rFonts w:hint="eastAsia" w:ascii="標楷體" w:hAnsi="標楷體" w:eastAsia="標楷體"/>
        </w:rPr>
        <w:t>凡遲到或早退者，報到現場恕不受理簽到、退作業。</w:t>
      </w:r>
    </w:p>
    <w:p>
      <w:pPr>
        <w:pStyle w:val="12"/>
        <w:numPr>
          <w:ilvl w:val="0"/>
          <w:numId w:val="3"/>
        </w:numPr>
        <w:ind w:leftChars="0" w:firstLine="229"/>
        <w:rPr>
          <w:rFonts w:ascii="標楷體" w:hAnsi="標楷體" w:eastAsia="標楷體"/>
        </w:rPr>
      </w:pPr>
      <w:r>
        <w:rPr>
          <w:rFonts w:hint="eastAsia" w:ascii="標楷體" w:hAnsi="標楷體" w:eastAsia="標楷體"/>
        </w:rPr>
        <w:t>不得以他人頂替上課、簽到或簽退，違者經查獲將取消護理人員繼續教育積分。</w:t>
      </w:r>
    </w:p>
    <w:p>
      <w:pPr>
        <w:pStyle w:val="12"/>
        <w:numPr>
          <w:ilvl w:val="0"/>
          <w:numId w:val="2"/>
        </w:numPr>
        <w:ind w:leftChars="0"/>
        <w:rPr>
          <w:rFonts w:ascii="標楷體" w:hAnsi="標楷體" w:eastAsia="標楷體"/>
        </w:rPr>
      </w:pPr>
      <w:r>
        <w:rPr>
          <w:rFonts w:hint="eastAsia" w:ascii="標楷體" w:hAnsi="標楷體" w:eastAsia="標楷體"/>
        </w:rPr>
        <w:t>會場冷氣較強，請記得攜帶外套。</w:t>
      </w:r>
    </w:p>
    <w:p>
      <w:pPr>
        <w:pStyle w:val="12"/>
        <w:ind w:left="709" w:leftChars="0"/>
        <w:rPr>
          <w:rFonts w:ascii="標楷體" w:hAnsi="標楷體" w:eastAsia="標楷體"/>
        </w:rPr>
      </w:pPr>
    </w:p>
    <w:p>
      <w:pPr>
        <w:rPr>
          <w:rFonts w:ascii="標楷體" w:hAnsi="標楷體" w:eastAsia="標楷體"/>
        </w:rPr>
      </w:pPr>
      <w:r>
        <w:rPr>
          <w:rFonts w:hint="eastAsia" w:ascii="標楷體" w:hAnsi="標楷體" w:eastAsia="標楷體"/>
        </w:rPr>
        <w:t>十一、交通訊息</w:t>
      </w:r>
    </w:p>
    <w:p>
      <w:pPr>
        <w:rPr>
          <w:rFonts w:ascii="標楷體" w:hAnsi="標楷體" w:eastAsia="標楷體"/>
        </w:rPr>
      </w:pPr>
      <w:r>
        <w:rPr>
          <w:rFonts w:hint="eastAsia" w:ascii="標楷體" w:hAnsi="標楷體" w:eastAsia="標楷體"/>
        </w:rPr>
        <w:t>本院大慶院區為收費停車場，恕無法提供優惠服務，請盡量共同搭乘，或利用大眾運輸工具。自行開車：</w:t>
      </w:r>
    </w:p>
    <w:p>
      <w:pPr>
        <w:rPr>
          <w:rFonts w:ascii="標楷體" w:hAnsi="標楷體" w:eastAsia="標楷體"/>
        </w:rPr>
      </w:pPr>
      <w:r>
        <w:rPr>
          <w:rFonts w:hint="eastAsia" w:ascii="標楷體" w:hAnsi="標楷體" w:eastAsia="標楷體"/>
        </w:rPr>
        <w:t>經由國道１號五權西路交流道下，往台中市區，文心南路右轉，建國北路左轉即達。</w:t>
      </w:r>
    </w:p>
    <w:p>
      <w:pPr>
        <w:rPr>
          <w:rFonts w:ascii="標楷體" w:hAnsi="標楷體" w:eastAsia="標楷體"/>
        </w:rPr>
      </w:pPr>
      <w:r>
        <w:rPr>
          <w:rFonts w:hint="eastAsia" w:ascii="標楷體" w:hAnsi="標楷體" w:eastAsia="標楷體"/>
        </w:rPr>
        <w:t>經國道３號烏日交流道下，往台中市區（復興路），大慶街二段左轉，過平交道，建國北路右轉即可抵達。(如下圖)</w:t>
      </w:r>
    </w:p>
    <w:p>
      <w:pPr>
        <w:rPr>
          <w:rFonts w:ascii="標楷體" w:hAnsi="標楷體" w:eastAsia="標楷體"/>
        </w:rPr>
      </w:pPr>
      <w:r>
        <w:rPr>
          <w:rFonts w:ascii="標楷體" w:hAnsi="標楷體" w:eastAsia="標楷體"/>
        </w:rPr>
        <w:drawing>
          <wp:inline distT="0" distB="0" distL="0" distR="0">
            <wp:extent cx="5265420" cy="3747135"/>
            <wp:effectExtent l="0" t="0" r="0" b="0"/>
            <wp:docPr id="1" name="圖片 1" descr="http://www.csh.org.tw/cshwebsite/Traffic/img/map20180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http://www.csh.org.tw/cshwebsite/Traffic/img/map201808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3753350"/>
                    </a:xfrm>
                    <a:prstGeom prst="rect">
                      <a:avLst/>
                    </a:prstGeom>
                    <a:noFill/>
                    <a:ln>
                      <a:noFill/>
                    </a:ln>
                  </pic:spPr>
                </pic:pic>
              </a:graphicData>
            </a:graphic>
          </wp:inline>
        </w:drawing>
      </w:r>
    </w:p>
    <w:p>
      <w:pPr>
        <w:rPr>
          <w:rFonts w:ascii="標楷體" w:hAnsi="標楷體" w:eastAsia="標楷體"/>
        </w:rPr>
      </w:pPr>
    </w:p>
    <w:sectPr>
      <w:headerReference r:id="rId5" w:type="first"/>
      <w:footerReference r:id="rId8" w:type="first"/>
      <w:headerReference r:id="rId3" w:type="default"/>
      <w:footerReference r:id="rId6" w:type="default"/>
      <w:headerReference r:id="rId4" w:type="even"/>
      <w:footerReference r:id="rId7" w:type="even"/>
      <w:pgSz w:w="11906" w:h="16838"/>
      <w:pgMar w:top="993"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標楷體">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9891196"/>
      <w:docPartObj>
        <w:docPartGallery w:val="autotext"/>
      </w:docPartObj>
    </w:sdtPr>
    <w:sdtContent>
      <w:p>
        <w:pPr>
          <w:pStyle w:val="3"/>
          <w:jc w:val="center"/>
        </w:pPr>
        <w:r>
          <w:fldChar w:fldCharType="begin"/>
        </w:r>
        <w:r>
          <w:instrText xml:space="preserve">PAGE   \* MERGEFORMAT</w:instrText>
        </w:r>
        <w:r>
          <w:fldChar w:fldCharType="separate"/>
        </w:r>
        <w:r>
          <w:rPr>
            <w:lang w:val="zh-TW"/>
          </w:rPr>
          <w:t>3</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69CF93"/>
    <w:multiLevelType w:val="singleLevel"/>
    <w:tmpl w:val="C769CF93"/>
    <w:lvl w:ilvl="0" w:tentative="0">
      <w:start w:val="9"/>
      <w:numFmt w:val="chineseCounting"/>
      <w:suff w:val="nothing"/>
      <w:lvlText w:val="%1、"/>
      <w:lvlJc w:val="left"/>
      <w:rPr>
        <w:rFonts w:hint="eastAsia"/>
      </w:rPr>
    </w:lvl>
  </w:abstractNum>
  <w:abstractNum w:abstractNumId="1">
    <w:nsid w:val="250E4B7B"/>
    <w:multiLevelType w:val="multilevel"/>
    <w:tmpl w:val="250E4B7B"/>
    <w:lvl w:ilvl="0" w:tentative="0">
      <w:start w:val="1"/>
      <w:numFmt w:val="taiwaneseCountingThousand"/>
      <w:lvlText w:val="(%1)"/>
      <w:lvlJc w:val="left"/>
      <w:pPr>
        <w:ind w:left="600" w:hanging="60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2">
    <w:nsid w:val="50C96C23"/>
    <w:multiLevelType w:val="multilevel"/>
    <w:tmpl w:val="50C96C23"/>
    <w:lvl w:ilvl="0" w:tentative="0">
      <w:start w:val="1"/>
      <w:numFmt w:val="decim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rawingGridHorizontalSpacing w:val="12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AC"/>
    <w:rsid w:val="00013F95"/>
    <w:rsid w:val="000152A1"/>
    <w:rsid w:val="0001601C"/>
    <w:rsid w:val="0002372C"/>
    <w:rsid w:val="00080CFE"/>
    <w:rsid w:val="000835C6"/>
    <w:rsid w:val="000963BB"/>
    <w:rsid w:val="000E4C82"/>
    <w:rsid w:val="00125AE5"/>
    <w:rsid w:val="0013003E"/>
    <w:rsid w:val="00137FB0"/>
    <w:rsid w:val="00170B01"/>
    <w:rsid w:val="00172F75"/>
    <w:rsid w:val="00240AC2"/>
    <w:rsid w:val="00251637"/>
    <w:rsid w:val="002575DE"/>
    <w:rsid w:val="00260BC4"/>
    <w:rsid w:val="00271A7B"/>
    <w:rsid w:val="002941BD"/>
    <w:rsid w:val="002B164D"/>
    <w:rsid w:val="002B1CF4"/>
    <w:rsid w:val="002C5099"/>
    <w:rsid w:val="002D0E04"/>
    <w:rsid w:val="002E4FE6"/>
    <w:rsid w:val="002E75D2"/>
    <w:rsid w:val="00327FFE"/>
    <w:rsid w:val="00341600"/>
    <w:rsid w:val="003449EE"/>
    <w:rsid w:val="00346342"/>
    <w:rsid w:val="003A4478"/>
    <w:rsid w:val="003B382F"/>
    <w:rsid w:val="00412D7E"/>
    <w:rsid w:val="004147E3"/>
    <w:rsid w:val="0044400B"/>
    <w:rsid w:val="004458F6"/>
    <w:rsid w:val="004543F8"/>
    <w:rsid w:val="00470E47"/>
    <w:rsid w:val="00473392"/>
    <w:rsid w:val="00490532"/>
    <w:rsid w:val="0049512A"/>
    <w:rsid w:val="004955AD"/>
    <w:rsid w:val="004C46FA"/>
    <w:rsid w:val="004F4F5E"/>
    <w:rsid w:val="005062CB"/>
    <w:rsid w:val="005101EE"/>
    <w:rsid w:val="005A25FC"/>
    <w:rsid w:val="00634A18"/>
    <w:rsid w:val="00636179"/>
    <w:rsid w:val="006E075B"/>
    <w:rsid w:val="006E1C50"/>
    <w:rsid w:val="007308E4"/>
    <w:rsid w:val="007415BA"/>
    <w:rsid w:val="00797041"/>
    <w:rsid w:val="007A744A"/>
    <w:rsid w:val="008068B8"/>
    <w:rsid w:val="00821725"/>
    <w:rsid w:val="00854CB5"/>
    <w:rsid w:val="00887A06"/>
    <w:rsid w:val="008B3647"/>
    <w:rsid w:val="009119A3"/>
    <w:rsid w:val="00914B38"/>
    <w:rsid w:val="009239C9"/>
    <w:rsid w:val="00975CEC"/>
    <w:rsid w:val="009B55EE"/>
    <w:rsid w:val="009E18AB"/>
    <w:rsid w:val="009E5EBB"/>
    <w:rsid w:val="009F4EB9"/>
    <w:rsid w:val="00A05A21"/>
    <w:rsid w:val="00A34C26"/>
    <w:rsid w:val="00A41589"/>
    <w:rsid w:val="00A45EB5"/>
    <w:rsid w:val="00AB5FCE"/>
    <w:rsid w:val="00AE2D0A"/>
    <w:rsid w:val="00AF2C20"/>
    <w:rsid w:val="00B418B4"/>
    <w:rsid w:val="00B56B2B"/>
    <w:rsid w:val="00B9593B"/>
    <w:rsid w:val="00BA6E53"/>
    <w:rsid w:val="00BD6411"/>
    <w:rsid w:val="00BF56E4"/>
    <w:rsid w:val="00C05166"/>
    <w:rsid w:val="00C302C5"/>
    <w:rsid w:val="00C50D30"/>
    <w:rsid w:val="00C6107D"/>
    <w:rsid w:val="00C810E2"/>
    <w:rsid w:val="00C9403F"/>
    <w:rsid w:val="00CB72B7"/>
    <w:rsid w:val="00D37B88"/>
    <w:rsid w:val="00DB1228"/>
    <w:rsid w:val="00DC744C"/>
    <w:rsid w:val="00DD6513"/>
    <w:rsid w:val="00DE304D"/>
    <w:rsid w:val="00DF1B5D"/>
    <w:rsid w:val="00E0274C"/>
    <w:rsid w:val="00E03635"/>
    <w:rsid w:val="00E1469C"/>
    <w:rsid w:val="00E14B7A"/>
    <w:rsid w:val="00E167A9"/>
    <w:rsid w:val="00E22930"/>
    <w:rsid w:val="00E22F44"/>
    <w:rsid w:val="00E40BD0"/>
    <w:rsid w:val="00E41AD8"/>
    <w:rsid w:val="00E745CF"/>
    <w:rsid w:val="00E974D3"/>
    <w:rsid w:val="00EC1457"/>
    <w:rsid w:val="00F06B44"/>
    <w:rsid w:val="00F120E3"/>
    <w:rsid w:val="00F3170F"/>
    <w:rsid w:val="00F36BB5"/>
    <w:rsid w:val="00F5329E"/>
    <w:rsid w:val="00F63F09"/>
    <w:rsid w:val="00F64134"/>
    <w:rsid w:val="00F842AC"/>
    <w:rsid w:val="00FC40E3"/>
    <w:rsid w:val="00FC64D8"/>
    <w:rsid w:val="00FE1F95"/>
    <w:rsid w:val="00FE7F7A"/>
    <w:rsid w:val="01C42F95"/>
    <w:rsid w:val="08647EDB"/>
    <w:rsid w:val="0915256F"/>
    <w:rsid w:val="09D92AF2"/>
    <w:rsid w:val="0C100CAA"/>
    <w:rsid w:val="0C4133DE"/>
    <w:rsid w:val="0E19152D"/>
    <w:rsid w:val="0E246D36"/>
    <w:rsid w:val="0F932A15"/>
    <w:rsid w:val="10EB1EF4"/>
    <w:rsid w:val="124551AC"/>
    <w:rsid w:val="12AA0A2B"/>
    <w:rsid w:val="13770CDF"/>
    <w:rsid w:val="15941D30"/>
    <w:rsid w:val="18122BC7"/>
    <w:rsid w:val="18DE3704"/>
    <w:rsid w:val="19F6307E"/>
    <w:rsid w:val="1A2B7310"/>
    <w:rsid w:val="1FF70F2F"/>
    <w:rsid w:val="24BA2956"/>
    <w:rsid w:val="268056D7"/>
    <w:rsid w:val="27A51DE3"/>
    <w:rsid w:val="295940FB"/>
    <w:rsid w:val="34D25C58"/>
    <w:rsid w:val="3B7B361E"/>
    <w:rsid w:val="3BFF63D1"/>
    <w:rsid w:val="47914536"/>
    <w:rsid w:val="4E7459C7"/>
    <w:rsid w:val="501864F6"/>
    <w:rsid w:val="56653DDC"/>
    <w:rsid w:val="628A3CF0"/>
    <w:rsid w:val="647A2B9A"/>
    <w:rsid w:val="6A893853"/>
    <w:rsid w:val="6D3F6AB8"/>
    <w:rsid w:val="705976C3"/>
    <w:rsid w:val="714A72A3"/>
    <w:rsid w:val="72CF4E60"/>
    <w:rsid w:val="75265DE1"/>
    <w:rsid w:val="79BF5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link w:val="10"/>
    <w:unhideWhenUsed/>
    <w:qFormat/>
    <w:uiPriority w:val="99"/>
    <w:pPr>
      <w:tabs>
        <w:tab w:val="center" w:pos="4153"/>
        <w:tab w:val="right" w:pos="8306"/>
      </w:tabs>
      <w:snapToGrid w:val="0"/>
    </w:pPr>
    <w:rPr>
      <w:sz w:val="20"/>
      <w:szCs w:val="20"/>
    </w:rPr>
  </w:style>
  <w:style w:type="paragraph" w:styleId="3">
    <w:name w:val="footer"/>
    <w:basedOn w:val="1"/>
    <w:link w:val="11"/>
    <w:unhideWhenUsed/>
    <w:qFormat/>
    <w:uiPriority w:val="99"/>
    <w:pPr>
      <w:tabs>
        <w:tab w:val="center" w:pos="4153"/>
        <w:tab w:val="right" w:pos="8306"/>
      </w:tabs>
      <w:snapToGrid w:val="0"/>
    </w:pPr>
    <w:rPr>
      <w:sz w:val="20"/>
      <w:szCs w:val="20"/>
    </w:rPr>
  </w:style>
  <w:style w:type="paragraph" w:styleId="4">
    <w:name w:val="Balloon Text"/>
    <w:basedOn w:val="1"/>
    <w:link w:val="9"/>
    <w:semiHidden/>
    <w:unhideWhenUsed/>
    <w:qFormat/>
    <w:uiPriority w:val="99"/>
    <w:rPr>
      <w:rFonts w:asciiTheme="majorHAnsi" w:hAnsiTheme="majorHAnsi" w:eastAsiaTheme="majorEastAsia" w:cstheme="majorBidi"/>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註解方塊文字 字元"/>
    <w:basedOn w:val="5"/>
    <w:link w:val="4"/>
    <w:semiHidden/>
    <w:qFormat/>
    <w:uiPriority w:val="99"/>
    <w:rPr>
      <w:rFonts w:asciiTheme="majorHAnsi" w:hAnsiTheme="majorHAnsi" w:eastAsiaTheme="majorEastAsia" w:cstheme="majorBidi"/>
      <w:kern w:val="2"/>
      <w:sz w:val="18"/>
      <w:szCs w:val="18"/>
    </w:rPr>
  </w:style>
  <w:style w:type="character" w:customStyle="1" w:styleId="10">
    <w:name w:val="頁首 字元"/>
    <w:basedOn w:val="5"/>
    <w:link w:val="2"/>
    <w:qFormat/>
    <w:uiPriority w:val="99"/>
    <w:rPr>
      <w:kern w:val="2"/>
    </w:rPr>
  </w:style>
  <w:style w:type="character" w:customStyle="1" w:styleId="11">
    <w:name w:val="頁尾 字元"/>
    <w:basedOn w:val="5"/>
    <w:link w:val="3"/>
    <w:qFormat/>
    <w:uiPriority w:val="99"/>
    <w:rPr>
      <w:kern w:val="2"/>
    </w:rPr>
  </w:style>
  <w:style w:type="paragraph" w:styleId="12">
    <w:name w:val="List Paragraph"/>
    <w:basedOn w:val="1"/>
    <w:qFormat/>
    <w:uiPriority w:val="34"/>
    <w:pPr>
      <w:ind w:left="480" w:left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B06BFC-D377-46B4-A8FA-9D09BFB4EBC3}">
  <ds:schemaRefs/>
</ds:datastoreItem>
</file>

<file path=docProps/app.xml><?xml version="1.0" encoding="utf-8"?>
<Properties xmlns="http://schemas.openxmlformats.org/officeDocument/2006/extended-properties" xmlns:vt="http://schemas.openxmlformats.org/officeDocument/2006/docPropsVTypes">
  <Template>Normal</Template>
  <Pages>3</Pages>
  <Words>260</Words>
  <Characters>1488</Characters>
  <Lines>12</Lines>
  <Paragraphs>3</Paragraphs>
  <TotalTime>2</TotalTime>
  <ScaleCrop>false</ScaleCrop>
  <LinksUpToDate>false</LinksUpToDate>
  <CharactersWithSpaces>1745</CharactersWithSpaces>
  <Application>WPS Office_10.8.2.6633_F1E327BC-269C-435d-A152-05C5408002CA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2019-09-04T01:09:00Z</dcterms:created>
  <dc:creator>CIDC</dc:creator>
  <cp:lastModifiedBy>CIDC</cp:lastModifiedBy>
  <dcterms:modified xsi:type="dcterms:W3CDTF">2019-09-04T06:42:57Z</dcterms:modified>
  <dc:title>失智友善醫院教育訓練系列~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1028-10.8.2.6633</vt:lpwstr>
  </property>
</Properties>
</file>